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bookmarkStart w:id="0" w:name="OLE_LINK4"/>
    </w:p>
    <w:p>
      <w:pPr>
        <w:jc w:val="center"/>
        <w:rPr>
          <w:rFonts w:hint="eastAsia" w:ascii="方正小标宋简体" w:hAnsi="方正小标宋简体" w:eastAsia="方正小标宋简体" w:cs="方正小标宋简体"/>
          <w:sz w:val="48"/>
          <w:szCs w:val="48"/>
        </w:rPr>
      </w:pPr>
      <w:bookmarkStart w:id="1" w:name="OLE_LINK5"/>
      <w:r>
        <w:rPr>
          <w:rFonts w:hint="eastAsia" w:ascii="方正小标宋简体" w:hAnsi="方正小标宋简体" w:eastAsia="方正小标宋简体" w:cs="方正小标宋简体"/>
          <w:sz w:val="48"/>
          <w:szCs w:val="48"/>
        </w:rPr>
        <w:t>航站楼问询台、失物招领、行李寄存监控日常维修项目</w:t>
      </w:r>
    </w:p>
    <w:bookmarkEnd w:id="1"/>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公开询价文件</w:t>
      </w:r>
      <w:bookmarkEnd w:id="0"/>
      <w:r>
        <w:rPr>
          <w:rFonts w:hint="eastAsia" w:ascii="方正小标宋简体" w:hAnsi="方正小标宋简体" w:eastAsia="方正小标宋简体" w:cs="方正小标宋简体"/>
          <w:sz w:val="48"/>
          <w:szCs w:val="48"/>
          <w:lang w:eastAsia="zh-CN"/>
        </w:rPr>
        <w:t>（</w:t>
      </w:r>
      <w:r>
        <w:rPr>
          <w:rFonts w:hint="eastAsia" w:ascii="方正小标宋简体" w:hAnsi="方正小标宋简体" w:eastAsia="方正小标宋简体" w:cs="方正小标宋简体"/>
          <w:sz w:val="48"/>
          <w:szCs w:val="48"/>
          <w:lang w:val="en-US" w:eastAsia="zh-CN"/>
        </w:rPr>
        <w:t>重新询价</w:t>
      </w:r>
      <w:r>
        <w:rPr>
          <w:rFonts w:hint="eastAsia" w:ascii="方正小标宋简体" w:hAnsi="方正小标宋简体" w:eastAsia="方正小标宋简体" w:cs="方正小标宋简体"/>
          <w:sz w:val="48"/>
          <w:szCs w:val="48"/>
          <w:lang w:eastAsia="zh-CN"/>
        </w:rPr>
        <w:t>）</w:t>
      </w:r>
      <w:bookmarkStart w:id="7" w:name="_GoBack"/>
      <w:bookmarkEnd w:id="7"/>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Cs/>
          <w:sz w:val="32"/>
          <w:szCs w:val="32"/>
        </w:rPr>
        <w:t>二〇二六年七月</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杭州萧山国际机场有限公司航站区管理中心就航站楼问询台、失物招领、行李寄存监控日常维修项目进行公开询价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重新询价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，欢迎符合要求的单位前来报价。</w:t>
      </w:r>
    </w:p>
    <w:p>
      <w:pPr>
        <w:spacing w:line="560" w:lineRule="exact"/>
        <w:ind w:firstLine="560" w:firstLineChars="200"/>
        <w:rPr>
          <w:rFonts w:hint="eastAsia" w:ascii="仿宋_GB2312" w:hAnsi="仿宋_GB2312" w:eastAsia="仿宋_GB2312" w:cs="仿宋_GB2312"/>
          <w:sz w:val="28"/>
          <w:szCs w:val="28"/>
        </w:rPr>
      </w:pPr>
      <w:bookmarkStart w:id="2" w:name="OLE_LINK1"/>
      <w:r>
        <w:rPr>
          <w:rFonts w:hint="eastAsia" w:ascii="黑体" w:hAnsi="黑体" w:eastAsia="黑体" w:cs="黑体"/>
          <w:sz w:val="28"/>
          <w:szCs w:val="28"/>
        </w:rPr>
        <w:t>一、项目要求</w:t>
      </w:r>
    </w:p>
    <w:bookmarkEnd w:id="2"/>
    <w:p>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本项目为航站楼问询台、失物招领、行李寄存区域监控系统日常维修养护项目，主要保障服务柜台、物品存放区域及相关仓库监控系统稳定运行。根据现场管理需要，同步对T3负一层B0140房间监控覆盖盲区进行完善，并配置必要的日常业务及移动监控调阅设备；具体工作内容以本文件后续条款及报价清单为准。服务期限自成交结果确认之日起1年，成交单位以本询价文件、报价文件、成交确认及验收报销资料作为服务履行和费用办理依据。</w:t>
      </w:r>
    </w:p>
    <w:p>
      <w:pPr>
        <w:spacing w:line="560" w:lineRule="exact"/>
        <w:ind w:firstLine="560" w:firstLineChars="200"/>
        <w:rPr>
          <w:rFonts w:hint="eastAsia" w:ascii="仿宋_GB2312" w:hAnsi="仿宋_GB2312" w:eastAsia="仿宋_GB2312" w:cs="仿宋_GB2312"/>
          <w:sz w:val="32"/>
          <w:szCs w:val="32"/>
        </w:rPr>
      </w:pPr>
      <w:r>
        <w:rPr>
          <w:rFonts w:hint="eastAsia" w:ascii="黑体" w:hAnsi="黑体" w:eastAsia="黑体" w:cs="黑体"/>
          <w:sz w:val="28"/>
          <w:szCs w:val="28"/>
        </w:rPr>
        <w:t>二、询价内容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1、服务范围与点位明细：</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646"/>
        <w:gridCol w:w="427"/>
        <w:gridCol w:w="415"/>
        <w:gridCol w:w="3081"/>
        <w:gridCol w:w="888"/>
        <w:gridCol w:w="888"/>
        <w:gridCol w:w="88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64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服务设施</w:t>
            </w:r>
          </w:p>
        </w:tc>
        <w:tc>
          <w:tcPr>
            <w:tcW w:w="42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15"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308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位置</w:t>
            </w:r>
          </w:p>
        </w:tc>
        <w:tc>
          <w:tcPr>
            <w:tcW w:w="888"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摄像机数量</w:t>
            </w:r>
          </w:p>
        </w:tc>
        <w:tc>
          <w:tcPr>
            <w:tcW w:w="888"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拾音器数量</w:t>
            </w:r>
          </w:p>
        </w:tc>
        <w:tc>
          <w:tcPr>
            <w:tcW w:w="888"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录像机数量</w:t>
            </w:r>
          </w:p>
        </w:tc>
        <w:tc>
          <w:tcPr>
            <w:tcW w:w="891"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交换机数量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64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现场问询柜台</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9</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（1）T3出发大厅问询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（2）T3出发隔离问询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（3）T3到达大厅问询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（4）T4出发M岛岛头问询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（5）T4出发M岛岛尾问询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（6）T4国际隔离问询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（7）T4国内隔离问询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（8）T4负九米问询</w:t>
            </w:r>
          </w:p>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（9）T4六米层问询</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646"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行李寄存柜台及仓库</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（1）T3出发行李寄存及仓库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（2）T4出发行李寄存及仓库</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646"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失物招领柜台及仓库</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6</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（1）T3到达失物招领及仓库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（2）T4到达失物招领及仓库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（3）T3仓库B1147房间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（4）T1仓库B1185房间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（5）T3负一层仓库B0115房间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（6）T3负一层仓库B0140房间</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25</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7</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r>
    </w:tbl>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T3负一层B0140房间建筑面积约20平方米，暂估补装摄像机4台，具体安装位置、线路走向、接入要求及安装数量由甲方结合现场实际确认。</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2.工作内容</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①日常维修养护：对上述区域现有监控摄像机、拾音器、录像机、交换机、电源、线路等进行故障排查、一般故障维修、清洁保养、参数校准、录像存储检查、线路接续整理及日常技术保障。服务期内每月不少于1次现场巡检，全年不少于12次，并提交巡检记录。相关人工、交通、工具、安全防护、小额辅材及日常技术支持等费用包含在本项报价内。</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②监控覆盖盲区完善：对T3负一层B0140房间开展监控覆盖盲区完善工作。该房间建筑面积约20平方米，暂估补装摄像机4台，具体安装位置、线路走向、接入要求及安装数量由甲方结合现场实际确认。摄像机、录像机、交换机等主要设备由甲方提供，成交单位负责线路敷设、设备安装、调试、平台接入、录像存储配置、标签标识、线路规整、辅材、人工及验收配合等工作。报价人应结合房间面积、暂估数量和工作内容填报摄像机点位单价，最终按甲方确认并验收合格的实际安装数量据实结算。</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③日常业务及移动监控调阅保障</w:t>
      </w:r>
      <w:r>
        <w:rPr>
          <w:rFonts w:hint="eastAsia" w:ascii="仿宋_GB2312" w:hAnsi="仿宋_GB2312" w:eastAsia="仿宋_GB2312" w:cs="仿宋_GB2312"/>
          <w:sz w:val="28"/>
          <w:szCs w:val="28"/>
        </w:rPr>
        <w:t>设备</w:t>
      </w:r>
      <w:r>
        <w:rPr>
          <w:rFonts w:ascii="仿宋_GB2312" w:hAnsi="仿宋_GB2312" w:eastAsia="仿宋_GB2312" w:cs="仿宋_GB2312"/>
          <w:sz w:val="28"/>
          <w:szCs w:val="28"/>
        </w:rPr>
        <w:t>配置：提供平板电脑2台，参考型号为REDMI Pad 2 Pro 8GB+256GB 5G版（支持SIM卡）或不低于该配置的同等产品，应为全新正品，并完成监控调阅相关应用配置、基础调试及操作指导。</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④技术支持：故障24小时响应，提供远程技术支持、现场一般故障处理、操作培训和日常咨询服务。遇重大故障或甲方重要保障任务时，应按甲方要求及时配合处理；涉及主要设备采购、重大损坏维修等不属于日常维修养护内容的，须经甲方确认后按相关意见执行。</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3.服务标准</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①修复时限：一般故障≤24小时；复杂故障≤36小时，</w:t>
      </w:r>
      <w:r>
        <w:rPr>
          <w:rFonts w:ascii="仿宋_GB2312" w:hAnsi="仿宋_GB2312" w:eastAsia="仿宋_GB2312" w:cs="仿宋_GB2312"/>
          <w:sz w:val="28"/>
          <w:szCs w:val="28"/>
        </w:rPr>
        <w:t>或在</w:t>
      </w:r>
      <w:r>
        <w:rPr>
          <w:rFonts w:hint="eastAsia" w:ascii="仿宋_GB2312" w:hAnsi="仿宋_GB2312" w:eastAsia="仿宋_GB2312" w:cs="仿宋_GB2312"/>
          <w:sz w:val="28"/>
          <w:szCs w:val="28"/>
        </w:rPr>
        <w:t>36</w:t>
      </w:r>
      <w:r>
        <w:rPr>
          <w:rFonts w:ascii="仿宋_GB2312" w:hAnsi="仿宋_GB2312" w:eastAsia="仿宋_GB2312" w:cs="仿宋_GB2312"/>
          <w:sz w:val="28"/>
          <w:szCs w:val="28"/>
        </w:rPr>
        <w:t>小时内提交经甲方认可的处置计划</w:t>
      </w:r>
      <w:r>
        <w:rPr>
          <w:rFonts w:hint="eastAsia" w:ascii="仿宋_GB2312" w:hAnsi="仿宋_GB2312" w:eastAsia="仿宋_GB2312" w:cs="仿宋_GB2312"/>
          <w:sz w:val="28"/>
          <w:szCs w:val="28"/>
        </w:rPr>
        <w:t>。</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②施工规范：监控设备布线规整、安全，符合航站楼安全管理规定。</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③质保要求：维修部位、完善布设施工、平板电脑质保1年。</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4.报价清单</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79"/>
        <w:gridCol w:w="2067"/>
        <w:gridCol w:w="439"/>
        <w:gridCol w:w="439"/>
        <w:gridCol w:w="910"/>
        <w:gridCol w:w="439"/>
        <w:gridCol w:w="897"/>
        <w:gridCol w:w="89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项目名称</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规格/说明</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9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w:t>
            </w:r>
            <w:r>
              <w:rPr>
                <w:rFonts w:ascii="仿宋_GB2312" w:hAnsi="仿宋_GB2312" w:eastAsia="仿宋_GB2312" w:cs="仿宋_GB2312"/>
                <w:bCs/>
                <w:szCs w:val="21"/>
              </w:rPr>
              <w:t>含税单价（元）</w:t>
            </w:r>
          </w:p>
        </w:tc>
        <w:tc>
          <w:tcPr>
            <w:tcW w:w="4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税率</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含税单价（元）</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含税总价（元）</w:t>
            </w: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监控日常维修养护与巡检</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服务范围覆盖问询台、行李寄存、失物招领、仓库等全点位区域，全年开展不少于12次现场巡检作业，同步做好设备故障维修、定期保养、参数调试、现场技术保障等工作</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服务期1年，费用综合考虑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监控覆盖盲区点位完善补装施工</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主材甲供，T3负一层B0140房间建筑面积约20平方米，暂估补装摄像机4台，含布线、安装、调试、平台接入、存储配置、标签标识、线路规整、辅材及人工。</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点位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4</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T3负一层B0140房间</w:t>
            </w:r>
            <w:r>
              <w:rPr>
                <w:rFonts w:hint="eastAsia" w:ascii="仿宋_GB2312" w:hAnsi="仿宋_GB2312" w:eastAsia="仿宋_GB2312" w:cs="仿宋_GB2312"/>
                <w:bCs/>
                <w:szCs w:val="21"/>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日常业务及移动监控调阅保障设备（平板电脑）</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REDMI Pad 2 Pro 8GB+256GB 5G版，或不低于该配置的同等产品</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台</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全新正品，含配置调试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税金（元）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bl>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上述报价为完成本项目相应工作所需的综合费用。其中，第2项按甲方确认并验收合格的实际安装点位数量和成交单价据实结算；第1项、第3项按成交报价及验收情况结算。成交单位完成监控覆盖盲区完善、平板电脑供货配置，并按要求履行全年巡检维护服务后，凭巡检记录、维修记录、验收材料、费用报销资料及增值税专用发票，经甲方验收确认后办理报销。</w:t>
      </w:r>
    </w:p>
    <w:p>
      <w:pPr>
        <w:spacing w:line="56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三、资格要求</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据最高人民法院等九部门《关于在招标投标活动中对失信被执行人实施联合惩戒的通知》，投标人不得为失信被执行人。（通过信用中国网站www.creditchina.gov.cn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近3年（2023年6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可提供增值税专用发票（需提供下列四项证明材料中任意一项并加盖公章：（1）主管税务部门出具的资格认定《税务事项通知书》；（2）《增值税纳税人登记表》；（3）打印投标人电子税务局资格查询网页；（4）在投标函中承诺投标人可提供增值税专用发票。）</w:t>
      </w:r>
    </w:p>
    <w:p>
      <w:pPr>
        <w:spacing w:line="560" w:lineRule="exact"/>
        <w:ind w:firstLine="560" w:firstLineChars="200"/>
        <w:rPr>
          <w:rFonts w:hint="eastAsia" w:ascii="黑体" w:hAnsi="黑体" w:eastAsia="黑体" w:cs="黑体"/>
          <w:sz w:val="28"/>
        </w:rPr>
      </w:pPr>
      <w:r>
        <w:rPr>
          <w:rFonts w:hint="eastAsia" w:ascii="黑体" w:hAnsi="黑体" w:eastAsia="黑体" w:cs="黑体"/>
          <w:sz w:val="28"/>
          <w:szCs w:val="28"/>
        </w:rPr>
        <w:t>四、询价文件的获取</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杭州萧山国际机场网站下载：</w:t>
      </w:r>
    </w:p>
    <w:p>
      <w:pPr>
        <w:spacing w:after="0" w:line="560" w:lineRule="exact"/>
        <w:ind w:firstLine="420" w:firstLineChars="200"/>
        <w:rPr>
          <w:rFonts w:hint="eastAsia" w:ascii="仿宋_GB2312" w:hAnsi="仿宋_GB2312" w:eastAsia="仿宋_GB2312" w:cs="仿宋_GB2312"/>
          <w:sz w:val="28"/>
          <w:szCs w:val="28"/>
        </w:rPr>
      </w:pPr>
      <w:r>
        <w:fldChar w:fldCharType="begin"/>
      </w:r>
      <w:r>
        <w:instrText xml:space="preserve"> HYPERLINK "http://www.hzairport.com/tender/index.html" </w:instrText>
      </w:r>
      <w:r>
        <w:fldChar w:fldCharType="separate"/>
      </w:r>
      <w:r>
        <w:rPr>
          <w:rFonts w:ascii="仿宋_GB2312" w:hAnsi="仿宋_GB2312" w:eastAsia="仿宋_GB2312" w:cs="仿宋_GB2312"/>
          <w:sz w:val="28"/>
          <w:szCs w:val="28"/>
        </w:rPr>
        <w:t>http://www.hzairport.com/tender/index.html</w:t>
      </w:r>
      <w:r>
        <w:rPr>
          <w:rFonts w:ascii="仿宋_GB2312" w:hAnsi="仿宋_GB2312" w:eastAsia="仿宋_GB2312" w:cs="仿宋_GB2312"/>
          <w:sz w:val="28"/>
          <w:szCs w:val="28"/>
        </w:rPr>
        <w:fldChar w:fldCharType="end"/>
      </w:r>
    </w:p>
    <w:p>
      <w:pPr>
        <w:spacing w:line="560" w:lineRule="exact"/>
        <w:ind w:firstLine="560" w:firstLineChars="200"/>
        <w:rPr>
          <w:rFonts w:ascii="宋体" w:cs="Times New Roman"/>
          <w:b/>
          <w:sz w:val="28"/>
        </w:rPr>
      </w:pPr>
      <w:r>
        <w:rPr>
          <w:rFonts w:hint="eastAsia" w:ascii="黑体" w:hAnsi="黑体" w:eastAsia="黑体" w:cs="黑体"/>
          <w:sz w:val="28"/>
          <w:szCs w:val="28"/>
        </w:rPr>
        <w:t>五、报价文件的递交</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1、当面递交或以特快专递方式提交密封报价（报价单格式参照附件一），逾期送达的或者未送达指定地点的报价文件，询价人不予受理。</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3、投递地址：杭州萧山国际机场T4航站楼2层失物招领柜台，范工，13222231521。</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4、截止日期:2026年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日上午09:00（北京时间）</w:t>
      </w:r>
    </w:p>
    <w:p>
      <w:pPr>
        <w:tabs>
          <w:tab w:val="left" w:pos="4591"/>
        </w:tabs>
        <w:spacing w:line="560" w:lineRule="exact"/>
        <w:ind w:firstLine="560" w:firstLineChars="200"/>
        <w:rPr>
          <w:rFonts w:ascii="宋体"/>
          <w:b/>
          <w:sz w:val="28"/>
          <w:szCs w:val="28"/>
        </w:rPr>
      </w:pPr>
      <w:r>
        <w:rPr>
          <w:rFonts w:hint="eastAsia" w:ascii="黑体" w:hAnsi="黑体" w:eastAsia="黑体" w:cs="黑体"/>
          <w:sz w:val="28"/>
          <w:szCs w:val="28"/>
        </w:rPr>
        <w:t>六、评标办法</w:t>
      </w:r>
      <w:bookmarkStart w:id="3" w:name="_Toc144974556"/>
      <w:bookmarkStart w:id="4" w:name="_Toc246392109"/>
      <w:bookmarkStart w:id="5" w:name="_Toc152042366"/>
      <w:bookmarkStart w:id="6" w:name="_Toc152045589"/>
    </w:p>
    <w:bookmarkEnd w:id="3"/>
    <w:bookmarkEnd w:id="4"/>
    <w:bookmarkEnd w:id="5"/>
    <w:bookmarkEnd w:id="6"/>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本次询价采用经评审的最低投标价法。</w:t>
      </w:r>
    </w:p>
    <w:p>
      <w:pPr>
        <w:tabs>
          <w:tab w:val="left" w:pos="4591"/>
        </w:tabs>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七、联系方式</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技术联系人：范工        联系电话：13222231521</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招标监督人：周工        联系电话：83837968</w:t>
      </w:r>
    </w:p>
    <w:p>
      <w:pPr>
        <w:spacing w:line="440" w:lineRule="exact"/>
        <w:rPr>
          <w:rFonts w:hint="eastAsia" w:ascii="仿宋_GB2312" w:hAnsi="仿宋_GB2312" w:eastAsia="仿宋_GB2312" w:cs="仿宋_GB2312"/>
          <w:b/>
          <w:bCs/>
          <w:sz w:val="28"/>
          <w:szCs w:val="28"/>
          <w:shd w:val="clear" w:color="auto" w:fill="FFFFFF"/>
        </w:rPr>
        <w:sectPr>
          <w:pgSz w:w="11906" w:h="16838"/>
          <w:pgMar w:top="1440" w:right="1800" w:bottom="1440" w:left="1800" w:header="851" w:footer="992" w:gutter="0"/>
          <w:cols w:space="425" w:num="1"/>
          <w:docGrid w:type="lines" w:linePitch="312" w:charSpace="0"/>
        </w:sectPr>
      </w:pPr>
    </w:p>
    <w:p>
      <w:pPr>
        <w:spacing w:line="440" w:lineRule="exact"/>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hint="eastAsia" w:ascii="方正小标宋简体" w:hAnsi="方正小标宋简体" w:eastAsia="方正小标宋简体" w:cs="方正小标宋简体"/>
          <w:sz w:val="32"/>
          <w:szCs w:val="32"/>
        </w:rPr>
      </w:pPr>
    </w:p>
    <w:p>
      <w:pPr>
        <w:spacing w:line="44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航站楼问询台、失物招领、行李寄存监控</w:t>
      </w:r>
    </w:p>
    <w:p>
      <w:pPr>
        <w:spacing w:line="440" w:lineRule="exact"/>
        <w:jc w:val="cente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shd w:val="clear" w:color="auto" w:fill="FFFFFF"/>
        </w:rPr>
        <w:t>日常维修项目报价单</w:t>
      </w:r>
      <w:r>
        <w:rPr>
          <w:rFonts w:hint="eastAsia" w:ascii="黑体" w:hAnsi="黑体" w:eastAsia="黑体" w:cs="黑体"/>
          <w:sz w:val="32"/>
          <w:szCs w:val="32"/>
          <w:shd w:val="clear" w:color="auto" w:fill="FFFFFF"/>
          <w:lang w:eastAsia="zh-CN"/>
        </w:rPr>
        <w:t>（</w:t>
      </w:r>
      <w:r>
        <w:rPr>
          <w:rFonts w:hint="eastAsia" w:ascii="黑体" w:hAnsi="黑体" w:eastAsia="黑体" w:cs="黑体"/>
          <w:sz w:val="32"/>
          <w:szCs w:val="32"/>
          <w:shd w:val="clear" w:color="auto" w:fill="FFFFFF"/>
          <w:lang w:val="en-US" w:eastAsia="zh-CN"/>
        </w:rPr>
        <w:t>重新询价</w:t>
      </w:r>
      <w:r>
        <w:rPr>
          <w:rFonts w:hint="eastAsia" w:ascii="黑体" w:hAnsi="黑体" w:eastAsia="黑体" w:cs="黑体"/>
          <w:sz w:val="32"/>
          <w:szCs w:val="32"/>
          <w:shd w:val="clear" w:color="auto" w:fill="FFFFFF"/>
          <w:lang w:eastAsia="zh-CN"/>
        </w:rPr>
        <w:t>）</w:t>
      </w:r>
    </w:p>
    <w:p>
      <w:pPr>
        <w:pStyle w:val="3"/>
        <w:ind w:firstLine="200"/>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我单位详细了解航站楼问询台、失物招领、行李寄存监控日常维修项目询价文件，对其内容表示全部认可，并将严格遵守文件内所有要求，现对项目约定内容进行报价：</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79"/>
        <w:gridCol w:w="2067"/>
        <w:gridCol w:w="439"/>
        <w:gridCol w:w="439"/>
        <w:gridCol w:w="910"/>
        <w:gridCol w:w="439"/>
        <w:gridCol w:w="897"/>
        <w:gridCol w:w="89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项目名称</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规格/说明</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9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w:t>
            </w:r>
            <w:r>
              <w:rPr>
                <w:rFonts w:ascii="仿宋_GB2312" w:hAnsi="仿宋_GB2312" w:eastAsia="仿宋_GB2312" w:cs="仿宋_GB2312"/>
                <w:bCs/>
                <w:szCs w:val="21"/>
              </w:rPr>
              <w:t>含税单价（元）</w:t>
            </w:r>
          </w:p>
        </w:tc>
        <w:tc>
          <w:tcPr>
            <w:tcW w:w="4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税率</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含税单价（元）</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含税总价（元）</w:t>
            </w: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监控日常维修养护与巡检</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服务范围覆盖问询台、行李寄存、失物招领、仓库等全点位区域，全年开展不少于12次现场巡检作业，同步做好设备故障维修、定期保养、参数调试、现场技术保障等工作</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服务期1年，费用综合考虑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监控覆盖盲区点位完善补装施工</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主材甲供，T3负一层B0140房间建筑面积约20平方米，暂估补装摄像机4台，含布线、安装、调试、平台接入、存储配置、标签标识、线路规整、辅材及人工。</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点位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4</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T3负一层B0140房间，据实</w:t>
            </w:r>
            <w:r>
              <w:rPr>
                <w:rFonts w:ascii="仿宋_GB2312" w:hAnsi="仿宋_GB2312" w:eastAsia="仿宋_GB2312" w:cs="仿宋_GB2312"/>
                <w:bCs/>
                <w:szCs w:val="21"/>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日常业务及移动监控调阅保障设备（平板电脑）</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REDMI Pad 2 Pro 8GB+256GB 5G版，或不低于该配置的同等产品</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台</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全新正品，含配置调试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税金（元）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bl>
    <w:p>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注意事项：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1、报价方需加盖公章予以确认，所报价格不得因任何原因进行调整。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2、报价方所报价格应为完成本次采购项目所发生的一切费用，包含但不限于货物的供货、运输、搬运费、包装费、安装费、税费、验收及售后服务。</w:t>
      </w:r>
      <w:r>
        <w:rPr>
          <w:rFonts w:ascii="仿宋_GB2312" w:hAnsi="仿宋_GB2312" w:eastAsia="仿宋_GB2312" w:cs="仿宋_GB2312"/>
          <w:sz w:val="28"/>
          <w:szCs w:val="28"/>
        </w:rPr>
        <w:t>甲方明确提供的库存主要监控设备除外。</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3、需提供增值税专用发票。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项目联系人：           联系电话：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spacing w:line="560" w:lineRule="exact"/>
        <w:ind w:firstLine="560" w:firstLineChars="200"/>
      </w:pPr>
      <w:r>
        <w:rPr>
          <w:rFonts w:hint="eastAsia" w:ascii="仿宋_GB2312" w:hAnsi="仿宋_GB2312" w:eastAsia="仿宋_GB2312" w:cs="仿宋_GB2312"/>
          <w:sz w:val="28"/>
          <w:szCs w:val="28"/>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_x0005_ FAE8F6F96C59ED1">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oto Sans SC Black">
    <w:panose1 w:val="020B0200000000000000"/>
    <w:charset w:val="86"/>
    <w:family w:val="auto"/>
    <w:pitch w:val="default"/>
    <w:sig w:usb0="20000083" w:usb1="2ADF3C10" w:usb2="00000016" w:usb3="00000000" w:csb0="60060107" w:csb1="00000000"/>
  </w:font>
  <w:font w:name="Noto Sans SC">
    <w:panose1 w:val="020B0200000000000000"/>
    <w:charset w:val="86"/>
    <w:family w:val="auto"/>
    <w:pitch w:val="default"/>
    <w:sig w:usb0="20000083" w:usb1="2ADF3C10" w:usb2="00000016" w:usb3="00000000" w:csb0="60060107"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MingLiU_MSCS-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C4F1B"/>
    <w:rsid w:val="00027E36"/>
    <w:rsid w:val="000342CF"/>
    <w:rsid w:val="000B00B6"/>
    <w:rsid w:val="00125B99"/>
    <w:rsid w:val="00157740"/>
    <w:rsid w:val="001906A5"/>
    <w:rsid w:val="00237E31"/>
    <w:rsid w:val="0029006C"/>
    <w:rsid w:val="002E5CB3"/>
    <w:rsid w:val="003B6875"/>
    <w:rsid w:val="005531ED"/>
    <w:rsid w:val="005E7FDF"/>
    <w:rsid w:val="006E50CC"/>
    <w:rsid w:val="007A2118"/>
    <w:rsid w:val="008B5B76"/>
    <w:rsid w:val="008E1268"/>
    <w:rsid w:val="00B20132"/>
    <w:rsid w:val="00B506D9"/>
    <w:rsid w:val="00B602DC"/>
    <w:rsid w:val="00C302D7"/>
    <w:rsid w:val="00CD22D4"/>
    <w:rsid w:val="00CE7A3B"/>
    <w:rsid w:val="00E37E34"/>
    <w:rsid w:val="00F0605A"/>
    <w:rsid w:val="00F525D5"/>
    <w:rsid w:val="00F9129E"/>
    <w:rsid w:val="04F90B1F"/>
    <w:rsid w:val="0C861F58"/>
    <w:rsid w:val="115076F0"/>
    <w:rsid w:val="15EC5F92"/>
    <w:rsid w:val="16AF4D52"/>
    <w:rsid w:val="19CA05FB"/>
    <w:rsid w:val="19FC027B"/>
    <w:rsid w:val="1DFE356F"/>
    <w:rsid w:val="1F3C664C"/>
    <w:rsid w:val="205017AF"/>
    <w:rsid w:val="210523F3"/>
    <w:rsid w:val="227E650E"/>
    <w:rsid w:val="229D5F25"/>
    <w:rsid w:val="25FF096C"/>
    <w:rsid w:val="292612EF"/>
    <w:rsid w:val="2BF01177"/>
    <w:rsid w:val="2C171C9E"/>
    <w:rsid w:val="2C8A7B19"/>
    <w:rsid w:val="2CAF5988"/>
    <w:rsid w:val="2E882586"/>
    <w:rsid w:val="2EA166F9"/>
    <w:rsid w:val="2F762B00"/>
    <w:rsid w:val="31665D7A"/>
    <w:rsid w:val="31F51425"/>
    <w:rsid w:val="320105F2"/>
    <w:rsid w:val="33254876"/>
    <w:rsid w:val="369B68C7"/>
    <w:rsid w:val="371D3500"/>
    <w:rsid w:val="382C31B2"/>
    <w:rsid w:val="394D60A7"/>
    <w:rsid w:val="3C261D18"/>
    <w:rsid w:val="3F984880"/>
    <w:rsid w:val="3FAD133F"/>
    <w:rsid w:val="40394613"/>
    <w:rsid w:val="415A22E2"/>
    <w:rsid w:val="427D4C66"/>
    <w:rsid w:val="436E1B46"/>
    <w:rsid w:val="46FD0519"/>
    <w:rsid w:val="47D01461"/>
    <w:rsid w:val="49BC2E3E"/>
    <w:rsid w:val="4ACD2BE4"/>
    <w:rsid w:val="4BDD4316"/>
    <w:rsid w:val="4CAD30D9"/>
    <w:rsid w:val="4E255264"/>
    <w:rsid w:val="50FC4F1B"/>
    <w:rsid w:val="51581240"/>
    <w:rsid w:val="515F305D"/>
    <w:rsid w:val="51E4239F"/>
    <w:rsid w:val="537F6247"/>
    <w:rsid w:val="54AC7157"/>
    <w:rsid w:val="5AD55929"/>
    <w:rsid w:val="5B2B2FE9"/>
    <w:rsid w:val="5B7C687C"/>
    <w:rsid w:val="5B8338C9"/>
    <w:rsid w:val="5C4C6F46"/>
    <w:rsid w:val="5CB65C9F"/>
    <w:rsid w:val="5E6C084C"/>
    <w:rsid w:val="633B2AF9"/>
    <w:rsid w:val="63D73871"/>
    <w:rsid w:val="64FC6592"/>
    <w:rsid w:val="68D569AD"/>
    <w:rsid w:val="6A79041D"/>
    <w:rsid w:val="6AA51CEE"/>
    <w:rsid w:val="6AB929CD"/>
    <w:rsid w:val="6C0854CE"/>
    <w:rsid w:val="6C453998"/>
    <w:rsid w:val="6F524547"/>
    <w:rsid w:val="71081069"/>
    <w:rsid w:val="71A1609F"/>
    <w:rsid w:val="760479A7"/>
    <w:rsid w:val="76F55F6C"/>
    <w:rsid w:val="76FF29F3"/>
    <w:rsid w:val="770C1556"/>
    <w:rsid w:val="777B4311"/>
    <w:rsid w:val="796C024B"/>
    <w:rsid w:val="7A0F7D9C"/>
    <w:rsid w:val="7C5A4D60"/>
    <w:rsid w:val="7EC219F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character" w:default="1" w:styleId="6">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ody Text First Indent"/>
    <w:basedOn w:val="4"/>
    <w:next w:val="1"/>
    <w:unhideWhenUsed/>
    <w:qFormat/>
    <w:uiPriority w:val="99"/>
    <w:pPr>
      <w:ind w:firstLine="420" w:firstLineChars="100"/>
    </w:pPr>
    <w:rPr>
      <w:rFonts w:ascii="Times New Roman" w:hAnsi="Times New Roman"/>
      <w:szCs w:val="24"/>
    </w:rPr>
  </w:style>
  <w:style w:type="paragraph" w:styleId="4">
    <w:name w:val="Body Text"/>
    <w:basedOn w:val="1"/>
    <w:unhideWhenUsed/>
    <w:qFormat/>
    <w:uiPriority w:val="99"/>
    <w:pPr>
      <w:spacing w:after="120"/>
    </w:pPr>
    <w:rPr>
      <w:kern w:val="0"/>
      <w:sz w:val="20"/>
      <w:szCs w:val="20"/>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rFonts w:asciiTheme="minorHAnsi" w:hAnsiTheme="minorHAnsi" w:eastAsiaTheme="minorEastAsia" w:cstheme="minorBidi"/>
      <w:color w:val="0000FF"/>
      <w:u w:val="single"/>
    </w:rPr>
  </w:style>
  <w:style w:type="table" w:styleId="10">
    <w:name w:val="Table Grid"/>
    <w:basedOn w:val="9"/>
    <w:qFormat/>
    <w:uiPriority w:val="0"/>
    <w:pPr>
      <w:widowControl w:val="0"/>
      <w:spacing w:after="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11">
    <w:name w:val="无间隔1"/>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12">
    <w:name w:val="10"/>
    <w:basedOn w:val="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607</Words>
  <Characters>3466</Characters>
  <Lines>28</Lines>
  <Paragraphs>8</Paragraphs>
  <ScaleCrop>false</ScaleCrop>
  <LinksUpToDate>false</LinksUpToDate>
  <CharactersWithSpaces>4065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2026-07-03T00:41:00Z</dcterms:created>
  <dc:creator>陈露晶</dc:creator>
  <cp:lastModifiedBy>A</cp:lastModifiedBy>
  <cp:lastPrinted>2026-06-23T06:14:00Z</cp:lastPrinted>
  <dcterms:modified xsi:type="dcterms:W3CDTF">2026-07-23T07:58:50Z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8B276800848E49669B38082DC8F63236_11</vt:lpwstr>
  </property>
  <property fmtid="{D5CDD505-2E9C-101B-9397-08002B2CF9AE}" pid="4" name="KSOTemplateDocerSaveRecord">
    <vt:lpwstr>eyJoZGlkIjoiN2JlYmEzZjMyMzQyMDUwYWM3M2FhNjE2N2E3ZTRlMTQiLCJ1c2VySWQiOiIzNzkyMTUyNzcifQ==</vt:lpwstr>
  </property>
</Properties>
</file>